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4F95" w:rsidRDefault="00264E13">
      <w:pPr>
        <w:rPr>
          <w:rFonts w:ascii="Arial" w:eastAsia="Arial" w:hAnsi="Arial" w:cs="Arial"/>
          <w:b/>
          <w:sz w:val="36"/>
          <w:szCs w:val="36"/>
        </w:rPr>
      </w:pPr>
      <w:r>
        <w:rPr>
          <w:rFonts w:ascii="Arial" w:eastAsia="Arial" w:hAnsi="Arial" w:cs="Arial"/>
          <w:b/>
          <w:sz w:val="36"/>
          <w:szCs w:val="36"/>
        </w:rPr>
        <w:t>Framework Schedule 3 (Framework Prices)</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sz w:val="24"/>
          <w:szCs w:val="24"/>
        </w:rPr>
        <w:t>NOT USED</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used to calculate Call-Off Charges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2B4F95" w:rsidRDefault="00264E1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Any variation </w:t>
      </w:r>
      <w:r>
        <w:rPr>
          <w:rFonts w:ascii="Arial" w:eastAsia="Arial" w:hAnsi="Arial" w:cs="Arial"/>
          <w:color w:val="000000"/>
          <w:sz w:val="24"/>
          <w:szCs w:val="24"/>
        </w:rPr>
        <w:t>to the Charges payable under a Call Off Contract must be agreed between the Supplier and the Buyer and implemented using the same procedure for altering Framework Prices in accordance with the provisions of this Framework Schedule 3</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Not Used</w:t>
      </w:r>
    </w:p>
    <w:p w:rsidR="002B4F95" w:rsidRDefault="002B4F95">
      <w:pPr>
        <w:pBdr>
          <w:top w:val="nil"/>
          <w:left w:val="nil"/>
          <w:bottom w:val="nil"/>
          <w:right w:val="nil"/>
          <w:between w:val="nil"/>
        </w:pBdr>
        <w:tabs>
          <w:tab w:val="left" w:pos="709"/>
        </w:tabs>
        <w:spacing w:before="120" w:after="120" w:line="240" w:lineRule="auto"/>
        <w:ind w:left="644"/>
        <w:rPr>
          <w:rFonts w:ascii="Arial" w:eastAsia="Arial" w:hAnsi="Arial" w:cs="Arial"/>
          <w:color w:val="000000"/>
          <w:sz w:val="24"/>
          <w:szCs w:val="24"/>
        </w:rPr>
      </w:pP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The Framework P</w:t>
      </w:r>
      <w:r>
        <w:rPr>
          <w:rFonts w:ascii="Arial" w:eastAsia="Arial" w:hAnsi="Arial" w:cs="Arial"/>
          <w:color w:val="000000"/>
          <w:sz w:val="24"/>
          <w:szCs w:val="24"/>
        </w:rPr>
        <w:t>rices will be fixed for th</w:t>
      </w:r>
      <w:r>
        <w:rPr>
          <w:rFonts w:ascii="Arial" w:eastAsia="Arial" w:hAnsi="Arial" w:cs="Arial"/>
          <w:sz w:val="24"/>
          <w:szCs w:val="24"/>
        </w:rPr>
        <w:t xml:space="preserve">e first </w:t>
      </w:r>
      <w:r>
        <w:rPr>
          <w:rFonts w:ascii="Arial" w:eastAsia="Arial" w:hAnsi="Arial" w:cs="Arial"/>
          <w:b/>
          <w:sz w:val="24"/>
          <w:szCs w:val="24"/>
        </w:rPr>
        <w:t>2</w:t>
      </w:r>
      <w:r>
        <w:rPr>
          <w:rFonts w:ascii="Arial" w:eastAsia="Arial" w:hAnsi="Arial" w:cs="Arial"/>
          <w:sz w:val="24"/>
          <w:szCs w:val="24"/>
        </w:rPr>
        <w:t xml:space="preserve"> years follo</w:t>
      </w:r>
      <w:r>
        <w:rPr>
          <w:rFonts w:ascii="Arial" w:eastAsia="Arial" w:hAnsi="Arial" w:cs="Arial"/>
          <w:color w:val="000000"/>
          <w:sz w:val="24"/>
          <w:szCs w:val="24"/>
        </w:rPr>
        <w:t>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w:t>
      </w:r>
      <w:r>
        <w:rPr>
          <w:rFonts w:ascii="Arial" w:eastAsia="Arial" w:hAnsi="Arial" w:cs="Arial"/>
          <w:color w:val="000000"/>
          <w:sz w:val="24"/>
          <w:szCs w:val="24"/>
        </w:rPr>
        <w:t>e next Review Date.</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2B4F95" w:rsidRDefault="00264E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CCS shall consider each request for a price increase to reflect the effects of inflation and National Living Wage increases during the Framework Term.  CCS may grant</w:t>
      </w:r>
      <w:r>
        <w:rPr>
          <w:rFonts w:ascii="Arial" w:eastAsia="Arial" w:hAnsi="Arial" w:cs="Arial"/>
          <w:sz w:val="24"/>
          <w:szCs w:val="24"/>
        </w:rPr>
        <w:t xml:space="preserve"> Approval to an increase at its sole discretion.</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 xml:space="preserve">The price increase request shall be determined by applying the following formula: </w:t>
      </w:r>
    </w:p>
    <w:p w:rsidR="002B4F95" w:rsidRDefault="00264E13">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 xml:space="preserve">           NC = EC * Z where: </w:t>
      </w:r>
    </w:p>
    <w:p w:rsidR="002B4F95" w:rsidRDefault="00264E13">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NC</w:t>
      </w:r>
      <w:r>
        <w:rPr>
          <w:rFonts w:ascii="Arial" w:eastAsia="Arial" w:hAnsi="Arial" w:cs="Arial"/>
          <w:sz w:val="24"/>
          <w:szCs w:val="24"/>
        </w:rPr>
        <w:tab/>
        <w:t xml:space="preserve"> is the New Charge; </w:t>
      </w:r>
    </w:p>
    <w:p w:rsidR="002B4F95" w:rsidRDefault="00264E13">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EC</w:t>
      </w:r>
      <w:r>
        <w:rPr>
          <w:rFonts w:ascii="Arial" w:eastAsia="Arial" w:hAnsi="Arial" w:cs="Arial"/>
          <w:sz w:val="24"/>
          <w:szCs w:val="24"/>
        </w:rPr>
        <w:tab/>
        <w:t xml:space="preserve"> is the Existing Charge; and </w:t>
      </w:r>
    </w:p>
    <w:p w:rsidR="002B4F95" w:rsidRDefault="00264E13">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Z</w:t>
      </w:r>
      <w:r>
        <w:rPr>
          <w:rFonts w:ascii="Arial" w:eastAsia="Arial" w:hAnsi="Arial" w:cs="Arial"/>
          <w:sz w:val="24"/>
          <w:szCs w:val="24"/>
        </w:rPr>
        <w:tab/>
        <w:t xml:space="preserve"> is 1 + (“</w:t>
      </w:r>
      <w:r>
        <w:rPr>
          <w:rFonts w:ascii="Arial" w:eastAsia="Arial" w:hAnsi="Arial" w:cs="Arial"/>
          <w:b/>
          <w:sz w:val="24"/>
          <w:szCs w:val="24"/>
        </w:rPr>
        <w:t>Average Annual % Change in SPPI”</w:t>
      </w:r>
      <w:r>
        <w:rPr>
          <w:rFonts w:ascii="Arial" w:eastAsia="Arial" w:hAnsi="Arial" w:cs="Arial"/>
          <w:sz w:val="24"/>
          <w:szCs w:val="24"/>
        </w:rPr>
        <w:t>) / 100</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 xml:space="preserve"> Where the published SPPI figures at the relevant Review Date are stated to be provisional figures or are subsequently amended, those figures shall apply as ultimately confirmed or amended unless CCS and the Supplier</w:t>
      </w:r>
      <w:r>
        <w:rPr>
          <w:rFonts w:ascii="Arial" w:eastAsia="Arial" w:hAnsi="Arial" w:cs="Arial"/>
          <w:sz w:val="24"/>
          <w:szCs w:val="24"/>
        </w:rPr>
        <w:t xml:space="preserve"> shall agree otherwise in writing.</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t>In the event that any changes occur to the basis of the SPPI, or it is no longer published, CCS and the Supplier shall agree a fair and reasonable adjustment to that index or, if appropriate, shall agree a revised formula</w:t>
      </w:r>
      <w:r>
        <w:rPr>
          <w:rFonts w:ascii="Arial" w:eastAsia="Arial" w:hAnsi="Arial" w:cs="Arial"/>
          <w:sz w:val="24"/>
          <w:szCs w:val="24"/>
        </w:rPr>
        <w:t xml:space="preserve"> that in either event will have substantially the same effect as that specified in this Framework Schedule 3 - Framework Prices.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sz w:val="24"/>
          <w:szCs w:val="24"/>
        </w:rPr>
      </w:pPr>
      <w:r>
        <w:rPr>
          <w:rFonts w:ascii="Arial" w:eastAsia="Arial" w:hAnsi="Arial" w:cs="Arial"/>
          <w:sz w:val="24"/>
          <w:szCs w:val="24"/>
        </w:rPr>
        <w:lastRenderedPageBreak/>
        <w:t xml:space="preserve">Where CCS approves an increase then it will be implemented from the first (1st) Working Day following the relevant Review Date </w:t>
      </w:r>
      <w:r>
        <w:rPr>
          <w:rFonts w:ascii="Arial" w:eastAsia="Arial" w:hAnsi="Arial" w:cs="Arial"/>
          <w:sz w:val="24"/>
          <w:szCs w:val="24"/>
        </w:rPr>
        <w:t>or such later date as CCS may determine at its sole discretion and Annex 1 shall be updated accordingly.</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25;</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14; </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w:t>
      </w:r>
      <w:r>
        <w:rPr>
          <w:rFonts w:ascii="Arial" w:eastAsia="Arial" w:hAnsi="Arial" w:cs="Arial"/>
          <w:color w:val="000000"/>
          <w:sz w:val="24"/>
          <w:szCs w:val="24"/>
        </w:rPr>
        <w:t xml:space="preserve"> Off Schedule 16 (Benchmarking)]</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verification of the Allowable Assumptions in accordance with Paragraph 9. </w:t>
      </w:r>
    </w:p>
    <w:p w:rsidR="002B4F95" w:rsidRDefault="002B4F95">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2B4F95" w:rsidRDefault="00264E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sz w:val="24"/>
          <w:szCs w:val="24"/>
          <w:highlight w:val="yellow"/>
        </w:rPr>
        <w:t xml:space="preserve">Not Used </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yellow"/>
        </w:rPr>
      </w:pPr>
      <w:r>
        <w:rPr>
          <w:rFonts w:ascii="Arial" w:eastAsia="Arial" w:hAnsi="Arial" w:cs="Arial"/>
          <w:b/>
          <w:sz w:val="24"/>
          <w:szCs w:val="24"/>
          <w:highlight w:val="yellow"/>
        </w:rPr>
        <w:t>Not Used</w:t>
      </w:r>
    </w:p>
    <w:p w:rsidR="002B4F95" w:rsidRDefault="00264E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Allowable Assumptions</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Before the end of its associated Verification Period (as set out in the table in Annex 2), the Supplier will determine whether each Allowable Assumption is accurate. </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Buyer will provide the Supplier with reasonable assistance when it is determining if </w:t>
      </w:r>
      <w:r>
        <w:rPr>
          <w:rFonts w:ascii="Arial" w:eastAsia="Arial" w:hAnsi="Arial" w:cs="Arial"/>
          <w:color w:val="000000"/>
          <w:sz w:val="24"/>
          <w:szCs w:val="24"/>
        </w:rPr>
        <w:t xml:space="preserve">an Allowable Assumption is accurate. </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Within 10 Working Days following the end of a Verification Period, the Supplier will send a written report to the Buyer setting out its verification results for the relevant Allowable Assumption, including whether the </w:t>
      </w:r>
      <w:r>
        <w:rPr>
          <w:rFonts w:ascii="Arial" w:eastAsia="Arial" w:hAnsi="Arial" w:cs="Arial"/>
          <w:color w:val="000000"/>
          <w:sz w:val="24"/>
          <w:szCs w:val="24"/>
        </w:rPr>
        <w:t>Charges or Implementation Plan (if applicable) require adjustment.</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Allowable Assumption will be deemed to be accurate if the Supplier cannot show has an impact on the Charges or the Implementation Plan to the reasonable satisfaction of the Buyer.</w:t>
      </w:r>
    </w:p>
    <w:p w:rsidR="002B4F95" w:rsidRDefault="00264E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If t</w:t>
      </w:r>
      <w:r>
        <w:rPr>
          <w:rFonts w:ascii="Arial" w:eastAsia="Arial" w:hAnsi="Arial" w:cs="Arial"/>
          <w:color w:val="000000"/>
          <w:sz w:val="24"/>
          <w:szCs w:val="24"/>
        </w:rPr>
        <w:t>he Supplier can show that an Allowable Assumption has an impact on either the Charges or the Implementation Plan (if applicable) then:</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 will take all reasonable steps to mitigate the impact of the Allowable Assumption;</w:t>
      </w:r>
    </w:p>
    <w:p w:rsidR="002B4F95" w:rsidRDefault="00264E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bookmarkStart w:id="7" w:name="_heading=h.4d34og8" w:colFirst="0" w:colLast="0"/>
      <w:bookmarkEnd w:id="7"/>
      <w:r>
        <w:rPr>
          <w:rFonts w:ascii="Arial" w:eastAsia="Arial" w:hAnsi="Arial" w:cs="Arial"/>
          <w:color w:val="000000"/>
          <w:sz w:val="24"/>
          <w:szCs w:val="24"/>
        </w:rPr>
        <w:t xml:space="preserve">the Supplier may propose </w:t>
      </w:r>
      <w:r>
        <w:rPr>
          <w:rFonts w:ascii="Arial" w:eastAsia="Arial" w:hAnsi="Arial" w:cs="Arial"/>
          <w:color w:val="000000"/>
          <w:sz w:val="24"/>
          <w:szCs w:val="24"/>
        </w:rPr>
        <w:t>a reasonable Variation arising as a direct result of such impact and such Variation shall be limited by any constraints set out in the table in Annex 2.</w:t>
      </w:r>
    </w:p>
    <w:p w:rsidR="002B4F95" w:rsidRDefault="002B4F95">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highlight w:val="yellow"/>
        </w:rPr>
      </w:pPr>
    </w:p>
    <w:p w:rsidR="002B4F95" w:rsidRDefault="002B4F95">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2B4F95" w:rsidRDefault="002B4F95">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2B4F95" w:rsidRDefault="00264E13">
      <w:pPr>
        <w:rPr>
          <w:rFonts w:ascii="Arial" w:eastAsia="Arial" w:hAnsi="Arial" w:cs="Arial"/>
          <w:b/>
          <w:sz w:val="36"/>
          <w:szCs w:val="36"/>
        </w:rPr>
      </w:pPr>
      <w:bookmarkStart w:id="8" w:name="_heading=h.1t3h5sf" w:colFirst="0" w:colLast="0"/>
      <w:bookmarkEnd w:id="8"/>
      <w:r>
        <w:br w:type="page"/>
      </w:r>
      <w:r>
        <w:rPr>
          <w:rFonts w:ascii="Arial" w:eastAsia="Arial" w:hAnsi="Arial" w:cs="Arial"/>
          <w:b/>
          <w:sz w:val="36"/>
          <w:szCs w:val="36"/>
        </w:rPr>
        <w:lastRenderedPageBreak/>
        <w:t>Annex 1: Rates and Prices</w:t>
      </w:r>
    </w:p>
    <w:p w:rsidR="002D53C5" w:rsidRDefault="002D53C5">
      <w:pPr>
        <w:rPr>
          <w:rFonts w:ascii="Arial" w:eastAsia="Arial" w:hAnsi="Arial" w:cs="Arial"/>
          <w:b/>
          <w:sz w:val="24"/>
          <w:szCs w:val="24"/>
        </w:rPr>
      </w:pPr>
      <w:bookmarkStart w:id="9" w:name="_heading=h.fc9aac53do7k" w:colFirst="0" w:colLast="0"/>
      <w:bookmarkEnd w:id="9"/>
      <w:r>
        <w:rPr>
          <w:rFonts w:ascii="Arial" w:eastAsia="Arial" w:hAnsi="Arial" w:cs="Arial"/>
          <w:b/>
          <w:sz w:val="24"/>
          <w:szCs w:val="24"/>
        </w:rPr>
        <w:t>REDACTED</w:t>
      </w: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D53C5" w:rsidRDefault="002D53C5">
      <w:pPr>
        <w:rPr>
          <w:rFonts w:ascii="Arial" w:eastAsia="Arial" w:hAnsi="Arial" w:cs="Arial"/>
          <w:b/>
          <w:sz w:val="36"/>
          <w:szCs w:val="36"/>
        </w:rPr>
      </w:pPr>
    </w:p>
    <w:p w:rsidR="002B4F95" w:rsidRDefault="00264E13">
      <w:pPr>
        <w:rPr>
          <w:rFonts w:ascii="Arial" w:eastAsia="Arial" w:hAnsi="Arial" w:cs="Arial"/>
          <w:b/>
          <w:sz w:val="36"/>
          <w:szCs w:val="36"/>
        </w:rPr>
      </w:pPr>
      <w:bookmarkStart w:id="10" w:name="_GoBack"/>
      <w:bookmarkEnd w:id="10"/>
      <w:r>
        <w:rPr>
          <w:rFonts w:ascii="Arial" w:eastAsia="Arial" w:hAnsi="Arial" w:cs="Arial"/>
          <w:b/>
          <w:sz w:val="36"/>
          <w:szCs w:val="36"/>
        </w:rPr>
        <w:lastRenderedPageBreak/>
        <w:t>Annex 2: Allowable Assumptions</w:t>
      </w:r>
    </w:p>
    <w:tbl>
      <w:tblPr>
        <w:tblStyle w:val="a0"/>
        <w:tblW w:w="14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3"/>
        <w:gridCol w:w="2045"/>
        <w:gridCol w:w="2044"/>
        <w:gridCol w:w="2045"/>
        <w:gridCol w:w="2044"/>
        <w:gridCol w:w="2045"/>
        <w:gridCol w:w="2045"/>
      </w:tblGrid>
      <w:tr w:rsidR="002B4F95">
        <w:tc>
          <w:tcPr>
            <w:tcW w:w="2043"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1</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2</w:t>
            </w:r>
          </w:p>
        </w:tc>
        <w:tc>
          <w:tcPr>
            <w:tcW w:w="2044"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3</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4</w:t>
            </w:r>
          </w:p>
        </w:tc>
        <w:tc>
          <w:tcPr>
            <w:tcW w:w="2044"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5</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6</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Column 7</w:t>
            </w:r>
          </w:p>
        </w:tc>
      </w:tr>
      <w:tr w:rsidR="002B4F95">
        <w:tc>
          <w:tcPr>
            <w:tcW w:w="2043"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Ref</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Description</w:t>
            </w:r>
          </w:p>
        </w:tc>
        <w:tc>
          <w:tcPr>
            <w:tcW w:w="2044"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Potential time impact if not accurate</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Potential cost impact if not accurate</w:t>
            </w:r>
          </w:p>
        </w:tc>
        <w:tc>
          <w:tcPr>
            <w:tcW w:w="2044"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How it will be tested</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Maximum impact period</w:t>
            </w:r>
          </w:p>
        </w:tc>
        <w:tc>
          <w:tcPr>
            <w:tcW w:w="2045" w:type="dxa"/>
            <w:shd w:val="clear" w:color="auto" w:fill="F2F2F2"/>
          </w:tcPr>
          <w:p w:rsidR="002B4F95" w:rsidRDefault="00264E13">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Verification period</w:t>
            </w:r>
          </w:p>
        </w:tc>
      </w:tr>
      <w:tr w:rsidR="002B4F95">
        <w:tc>
          <w:tcPr>
            <w:tcW w:w="2043"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r>
      <w:tr w:rsidR="002B4F95">
        <w:tc>
          <w:tcPr>
            <w:tcW w:w="2043"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r>
      <w:tr w:rsidR="002B4F95">
        <w:tc>
          <w:tcPr>
            <w:tcW w:w="2043"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r>
      <w:tr w:rsidR="002B4F95">
        <w:tc>
          <w:tcPr>
            <w:tcW w:w="2043"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4"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c>
          <w:tcPr>
            <w:tcW w:w="2045" w:type="dxa"/>
            <w:shd w:val="clear" w:color="auto" w:fill="auto"/>
          </w:tcPr>
          <w:p w:rsidR="002B4F95" w:rsidRDefault="002B4F95">
            <w:pPr>
              <w:pBdr>
                <w:top w:val="nil"/>
                <w:left w:val="nil"/>
                <w:bottom w:val="nil"/>
                <w:right w:val="nil"/>
                <w:between w:val="nil"/>
              </w:pBdr>
              <w:spacing w:before="120" w:after="120"/>
              <w:rPr>
                <w:rFonts w:ascii="Arial" w:eastAsia="Arial" w:hAnsi="Arial" w:cs="Arial"/>
                <w:color w:val="000000"/>
                <w:sz w:val="16"/>
                <w:szCs w:val="16"/>
              </w:rPr>
            </w:pPr>
          </w:p>
        </w:tc>
      </w:tr>
    </w:tbl>
    <w:p w:rsidR="002B4F95" w:rsidRDefault="002B4F95">
      <w:pPr>
        <w:rPr>
          <w:rFonts w:ascii="Arial" w:eastAsia="Arial" w:hAnsi="Arial" w:cs="Arial"/>
          <w:b/>
          <w:sz w:val="36"/>
          <w:szCs w:val="36"/>
        </w:rPr>
      </w:pPr>
    </w:p>
    <w:sectPr w:rsidR="002B4F95">
      <w:headerReference w:type="default" r:id="rId8"/>
      <w:footerReference w:type="default" r:id="rId9"/>
      <w:headerReference w:type="first" r:id="rId10"/>
      <w:footerReference w:type="first" r:id="rId11"/>
      <w:pgSz w:w="16838" w:h="11906" w:orient="landscape"/>
      <w:pgMar w:top="1440" w:right="1888"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E13" w:rsidRDefault="00264E13">
      <w:pPr>
        <w:spacing w:after="0" w:line="240" w:lineRule="auto"/>
      </w:pPr>
      <w:r>
        <w:separator/>
      </w:r>
    </w:p>
  </w:endnote>
  <w:endnote w:type="continuationSeparator" w:id="0">
    <w:p w:rsidR="00264E13" w:rsidRDefault="00264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F95" w:rsidRDefault="00264E1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D53C5">
      <w:rPr>
        <w:rFonts w:ascii="Arial" w:eastAsia="Arial" w:hAnsi="Arial" w:cs="Arial"/>
        <w:color w:val="000000"/>
        <w:sz w:val="20"/>
        <w:szCs w:val="20"/>
      </w:rPr>
      <w:fldChar w:fldCharType="separate"/>
    </w:r>
    <w:r w:rsidR="002D53C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B4F95" w:rsidRDefault="00264E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F95" w:rsidRDefault="00264E13">
    <w:pPr>
      <w:tabs>
        <w:tab w:val="center" w:pos="4513"/>
        <w:tab w:val="right" w:pos="9026"/>
      </w:tabs>
      <w:spacing w:after="0"/>
    </w:pPr>
    <w:r>
      <w:t>Framework Re</w:t>
    </w:r>
    <w:r>
      <w:t>f: RM</w:t>
    </w:r>
    <w:r>
      <w:tab/>
      <w:t xml:space="preserve">                                           </w:t>
    </w:r>
  </w:p>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B4F95" w:rsidRDefault="00264E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E13" w:rsidRDefault="00264E13">
      <w:pPr>
        <w:spacing w:after="0" w:line="240" w:lineRule="auto"/>
      </w:pPr>
      <w:r>
        <w:separator/>
      </w:r>
    </w:p>
  </w:footnote>
  <w:footnote w:type="continuationSeparator" w:id="0">
    <w:p w:rsidR="00264E13" w:rsidRDefault="00264E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B4F95" w:rsidRDefault="00264E1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45624"/>
    <w:multiLevelType w:val="multilevel"/>
    <w:tmpl w:val="CA06E21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70C2121"/>
    <w:multiLevelType w:val="multilevel"/>
    <w:tmpl w:val="442A730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95"/>
    <w:rsid w:val="00264E13"/>
    <w:rsid w:val="002B4F95"/>
    <w:rsid w:val="002D53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5A38"/>
  <w15:docId w15:val="{E3A78C05-8A1F-48A9-9FF6-23E8D7319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customStyle="1" w:styleId="Table-Text">
    <w:name w:val="Table - Text"/>
    <w:basedOn w:val="Normal"/>
    <w:qFormat/>
    <w:rsid w:val="00224412"/>
    <w:pPr>
      <w:adjustRightInd w:val="0"/>
      <w:spacing w:before="120" w:after="120" w:line="240" w:lineRule="auto"/>
    </w:pPr>
    <w:rPr>
      <w:rFonts w:ascii="Times New Roman" w:eastAsia="STZhongsong" w:hAnsi="Times New Roman" w:cs="Times New Roman"/>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0ncVQhdaaulYv6Bo/6eOf8Eswg==">AMUW2mVbd4TeyFDB3q+2x8S2FHJh6MWGkhyEPnjnao0aptI6QP9X6RzedzWLj7dJ4q9eHMeUmHKulxakmL1HBj68sLQPDdTOpUBYjd6KCa1egwuCMxe1yBerUc4WSEbMymFSmfx4jauL9sFhoTEnIou+MSsaccSRzxj4/axiOzHV03a67xVYz0RyDWBFA/2PMb8E0MIk9YmJyKAjgIvIeLkb4q0JhBqMCTVgKAmH2xM26R2Iv0eleEUc0SiIX8XMytwta+3e13KF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James Byrne</cp:lastModifiedBy>
  <cp:revision>2</cp:revision>
  <dcterms:created xsi:type="dcterms:W3CDTF">2021-04-30T11:10:00Z</dcterms:created>
  <dcterms:modified xsi:type="dcterms:W3CDTF">2021-08-04T13:22:00Z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